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VISUAL FLOW</w:t>
      </w:r>
    </w:p>
    <w:p>
      <w:pPr>
        <w:spacing w:before="0" w:after="120" w:line="230" w:lineRule="auto"/>
        <w:jc w:val="left"/>
      </w:pPr>
      <w:r>
        <w:rPr>
          <w:rFonts w:ascii="Georgia" w:hAnsi="Georgia"/>
          <w:b/>
          <w:i w:val="0"/>
          <w:color w:val="111111"/>
          <w:sz w:val="52"/>
        </w:rPr>
        <w:t>Kanban Board Template</w:t>
      </w:r>
    </w:p>
    <w:p>
      <w:pPr>
        <w:spacing w:before="0" w:after="20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This board visualizes tasks, limits work in progress, and keeps the flow easy to follow.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944"/>
        <w:gridCol w:w="3671"/>
        <w:gridCol w:w="1944"/>
        <w:gridCol w:w="1800"/>
      </w:tblGrid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Columns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111111"/>
                <w:sz w:val="19"/>
              </w:rPr>
              <w:t>To Do, Doing, Review, Done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Format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Editable board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Use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Daily execution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Output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Less blocking</w:t>
            </w:r>
          </w:p>
        </w:tc>
      </w:tr>
    </w:tbl>
    <w:p>
      <w:pPr>
        <w:spacing w:before="0" w:after="0" w:line="240" w:lineRule="auto"/>
        <w:jc w:val="left"/>
      </w:pPr>
    </w:p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Board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2332"/>
        <w:gridCol w:w="2332"/>
        <w:gridCol w:w="2332"/>
        <w:gridCol w:w="2361"/>
      </w:tblGrid>
      <w:tr>
        <w:tc>
          <w:tcPr>
            <w:tcW w:type="dxa" w:w="2333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To Do</w:t>
            </w:r>
          </w:p>
        </w:tc>
        <w:tc>
          <w:tcPr>
            <w:tcW w:type="dxa" w:w="2333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Doing</w:t>
            </w:r>
          </w:p>
        </w:tc>
        <w:tc>
          <w:tcPr>
            <w:tcW w:type="dxa" w:w="2333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Review</w:t>
            </w:r>
          </w:p>
        </w:tc>
        <w:tc>
          <w:tcPr>
            <w:tcW w:type="dxa" w:w="236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Done</w:t>
            </w:r>
          </w:p>
        </w:tc>
      </w:tr>
      <w:tr>
        <w:tc>
          <w:tcPr>
            <w:tcW w:type="dxa" w:w="2333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336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[cards here]</w:t>
            </w:r>
          </w:p>
        </w:tc>
        <w:tc>
          <w:tcPr>
            <w:tcW w:type="dxa" w:w="2333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336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[cards here]</w:t>
            </w:r>
          </w:p>
        </w:tc>
        <w:tc>
          <w:tcPr>
            <w:tcW w:type="dxa" w:w="2333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336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[cards here]</w:t>
            </w:r>
          </w:p>
        </w:tc>
        <w:tc>
          <w:tcPr>
            <w:tcW w:type="dxa" w:w="2362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336" w:lineRule="auto"/>
              <w:jc w:val="left"/>
            </w:pPr>
            <w:r>
              <w:rPr>
                <w:rFonts w:ascii="Calibri" w:hAnsi="Calibri"/>
                <w:b w:val="0"/>
                <w:i/>
                <w:color w:val="5F5A53"/>
                <w:sz w:val="19"/>
              </w:rPr>
              <w:t>[cards here]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Simple rules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3744"/>
        <w:gridCol w:w="5616"/>
      </w:tblGrid>
      <w:tr>
        <w:tc>
          <w:tcPr>
            <w:tcW w:type="dxa" w:w="37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WIP limit</w:t>
            </w:r>
          </w:p>
        </w:tc>
        <w:tc>
          <w:tcPr>
            <w:tcW w:type="dxa" w:w="561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Keep only a few tasks at the same time.</w:t>
            </w:r>
          </w:p>
        </w:tc>
      </w:tr>
      <w:tr>
        <w:tc>
          <w:tcPr>
            <w:tcW w:type="dxa" w:w="37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Daily update</w:t>
            </w:r>
          </w:p>
        </w:tc>
        <w:tc>
          <w:tcPr>
            <w:tcW w:type="dxa" w:w="561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Review the board every day.</w:t>
            </w:r>
          </w:p>
        </w:tc>
      </w:tr>
      <w:tr>
        <w:tc>
          <w:tcPr>
            <w:tcW w:type="dxa" w:w="37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Visible blockers</w:t>
            </w:r>
          </w:p>
        </w:tc>
        <w:tc>
          <w:tcPr>
            <w:tcW w:type="dxa" w:w="561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Do not hide impediments.</w:t>
            </w:r>
          </w:p>
        </w:tc>
      </w:tr>
      <w:tr>
        <w:tc>
          <w:tcPr>
            <w:tcW w:type="dxa" w:w="37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Clear transition</w:t>
            </w:r>
          </w:p>
        </w:tc>
        <w:tc>
          <w:tcPr>
            <w:tcW w:type="dxa" w:w="561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Only move what is ready to advance.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b w:val="0"/>
        <w:i w:val="0"/>
        <w:color w:val="5F5A53"/>
        <w:sz w:val="18"/>
      </w:rPr>
      <w:t>Viviane Santos | Business Analyst | Kanban Board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